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7FB6A" w14:textId="77777777" w:rsidR="00BE5EC5" w:rsidRDefault="00BE5EC5" w:rsidP="0038792D">
      <w:pPr>
        <w:jc w:val="center"/>
        <w:rPr>
          <w:rFonts w:ascii="Arial" w:hAnsi="Arial" w:cs="Arial"/>
          <w:b/>
          <w:sz w:val="32"/>
          <w:szCs w:val="36"/>
        </w:rPr>
      </w:pPr>
    </w:p>
    <w:p w14:paraId="79C4CA4D" w14:textId="59A63D6E" w:rsidR="00080C9A" w:rsidRPr="00452463" w:rsidRDefault="00DF54C0" w:rsidP="0038792D">
      <w:pPr>
        <w:jc w:val="center"/>
        <w:rPr>
          <w:rFonts w:ascii="Arial" w:hAnsi="Arial" w:cs="Arial"/>
          <w:b/>
          <w:sz w:val="32"/>
          <w:szCs w:val="36"/>
        </w:rPr>
      </w:pPr>
      <w:r>
        <w:rPr>
          <w:rFonts w:ascii="Arial" w:hAnsi="Arial" w:cs="Arial"/>
          <w:b/>
          <w:sz w:val="32"/>
          <w:szCs w:val="36"/>
        </w:rPr>
        <w:t xml:space="preserve">Mayor </w:t>
      </w:r>
      <w:r w:rsidR="00452463">
        <w:rPr>
          <w:rFonts w:ascii="Arial" w:hAnsi="Arial" w:cs="Arial"/>
          <w:b/>
          <w:sz w:val="32"/>
          <w:szCs w:val="36"/>
        </w:rPr>
        <w:t>c</w:t>
      </w:r>
      <w:r w:rsidR="00452463" w:rsidRPr="00452463">
        <w:rPr>
          <w:rFonts w:ascii="Arial" w:hAnsi="Arial" w:cs="Arial"/>
          <w:b/>
          <w:sz w:val="32"/>
          <w:szCs w:val="36"/>
        </w:rPr>
        <w:t xml:space="preserve">onfianza ciudadana, transparencia, innovación, gobierno abierto y lucha contra la corrupción, entre las </w:t>
      </w:r>
      <w:r w:rsidR="00452463">
        <w:rPr>
          <w:rFonts w:ascii="Arial" w:hAnsi="Arial" w:cs="Arial"/>
          <w:b/>
          <w:sz w:val="32"/>
          <w:szCs w:val="36"/>
        </w:rPr>
        <w:t xml:space="preserve">metas </w:t>
      </w:r>
      <w:r>
        <w:rPr>
          <w:rFonts w:ascii="Arial" w:hAnsi="Arial" w:cs="Arial"/>
          <w:b/>
          <w:sz w:val="32"/>
          <w:szCs w:val="36"/>
        </w:rPr>
        <w:t xml:space="preserve">del </w:t>
      </w:r>
      <w:r w:rsidR="00452463" w:rsidRPr="00452463">
        <w:rPr>
          <w:rFonts w:ascii="Arial" w:hAnsi="Arial" w:cs="Arial"/>
          <w:b/>
          <w:sz w:val="32"/>
          <w:szCs w:val="36"/>
        </w:rPr>
        <w:t xml:space="preserve">Plan Distrital de Desarrollo </w:t>
      </w:r>
      <w:r w:rsidR="00452463">
        <w:rPr>
          <w:rFonts w:ascii="Arial" w:hAnsi="Arial" w:cs="Arial"/>
          <w:b/>
          <w:sz w:val="32"/>
          <w:szCs w:val="36"/>
        </w:rPr>
        <w:t xml:space="preserve">en </w:t>
      </w:r>
      <w:r>
        <w:rPr>
          <w:rFonts w:ascii="Arial" w:hAnsi="Arial" w:cs="Arial"/>
          <w:b/>
          <w:sz w:val="32"/>
          <w:szCs w:val="36"/>
        </w:rPr>
        <w:t>g</w:t>
      </w:r>
      <w:r w:rsidR="00452463" w:rsidRPr="00452463">
        <w:rPr>
          <w:rFonts w:ascii="Arial" w:hAnsi="Arial" w:cs="Arial"/>
          <w:b/>
          <w:sz w:val="32"/>
          <w:szCs w:val="36"/>
        </w:rPr>
        <w:t xml:space="preserve">estión </w:t>
      </w:r>
      <w:r>
        <w:rPr>
          <w:rFonts w:ascii="Arial" w:hAnsi="Arial" w:cs="Arial"/>
          <w:b/>
          <w:sz w:val="32"/>
          <w:szCs w:val="36"/>
        </w:rPr>
        <w:t>p</w:t>
      </w:r>
      <w:r w:rsidR="00452463" w:rsidRPr="00452463">
        <w:rPr>
          <w:rFonts w:ascii="Arial" w:hAnsi="Arial" w:cs="Arial"/>
          <w:b/>
          <w:sz w:val="32"/>
          <w:szCs w:val="36"/>
        </w:rPr>
        <w:t>ública</w:t>
      </w:r>
    </w:p>
    <w:p w14:paraId="0D91E00A" w14:textId="77777777" w:rsidR="00BE5EC5" w:rsidRDefault="00BE5EC5">
      <w:pPr>
        <w:rPr>
          <w:rFonts w:ascii="Arial" w:hAnsi="Arial" w:cs="Arial"/>
          <w:sz w:val="24"/>
          <w:szCs w:val="36"/>
        </w:rPr>
      </w:pPr>
    </w:p>
    <w:p w14:paraId="304CA10C" w14:textId="77777777" w:rsidR="00D40C28" w:rsidRPr="00BE5EC5" w:rsidRDefault="00BE5EC5" w:rsidP="00BE5EC5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36"/>
        </w:rPr>
      </w:pPr>
      <w:r>
        <w:rPr>
          <w:rFonts w:ascii="Arial" w:hAnsi="Arial" w:cs="Arial"/>
          <w:sz w:val="24"/>
          <w:szCs w:val="36"/>
        </w:rPr>
        <w:t xml:space="preserve">La racionalización de trámites, la formalización del empleo público, la innovación pública y la meritocracia, entre las metas que contiene los artículos del Plan aprobados por el concejo. </w:t>
      </w:r>
      <w:r w:rsidR="00080C9A" w:rsidRPr="00BE5EC5">
        <w:rPr>
          <w:rFonts w:ascii="Arial" w:hAnsi="Arial" w:cs="Arial"/>
          <w:sz w:val="24"/>
          <w:szCs w:val="36"/>
        </w:rPr>
        <w:t xml:space="preserve"> </w:t>
      </w:r>
    </w:p>
    <w:p w14:paraId="06CB12CB" w14:textId="77777777" w:rsidR="00D40C28" w:rsidRDefault="00D40C28">
      <w:pPr>
        <w:rPr>
          <w:rFonts w:ascii="Arial" w:hAnsi="Arial" w:cs="Arial"/>
          <w:sz w:val="24"/>
          <w:szCs w:val="36"/>
        </w:rPr>
      </w:pPr>
    </w:p>
    <w:p w14:paraId="379CA986" w14:textId="77777777" w:rsidR="00080C9A" w:rsidRDefault="00080C9A">
      <w:pPr>
        <w:rPr>
          <w:rFonts w:ascii="Arial" w:hAnsi="Arial" w:cs="Arial"/>
          <w:sz w:val="24"/>
          <w:szCs w:val="36"/>
        </w:rPr>
      </w:pPr>
      <w:r w:rsidRPr="00080C9A">
        <w:rPr>
          <w:rFonts w:ascii="Arial" w:hAnsi="Arial" w:cs="Arial"/>
          <w:b/>
          <w:sz w:val="24"/>
          <w:szCs w:val="36"/>
        </w:rPr>
        <w:t>Bogotá, 30 de mayo de 2024.-</w:t>
      </w:r>
      <w:r>
        <w:rPr>
          <w:rFonts w:ascii="Arial" w:hAnsi="Arial" w:cs="Arial"/>
          <w:b/>
          <w:sz w:val="24"/>
          <w:szCs w:val="36"/>
        </w:rPr>
        <w:t xml:space="preserve"> </w:t>
      </w:r>
      <w:r w:rsidR="00CD2E14" w:rsidRPr="00CD2E14">
        <w:rPr>
          <w:rFonts w:ascii="Arial" w:hAnsi="Arial" w:cs="Arial"/>
          <w:sz w:val="24"/>
          <w:szCs w:val="36"/>
        </w:rPr>
        <w:t xml:space="preserve">El </w:t>
      </w:r>
      <w:r w:rsidR="00CD2E14">
        <w:rPr>
          <w:rFonts w:ascii="Arial" w:hAnsi="Arial" w:cs="Arial"/>
          <w:sz w:val="24"/>
          <w:szCs w:val="36"/>
        </w:rPr>
        <w:t>s</w:t>
      </w:r>
      <w:r w:rsidR="00CD2E14" w:rsidRPr="00CD2E14">
        <w:rPr>
          <w:rFonts w:ascii="Arial" w:hAnsi="Arial" w:cs="Arial"/>
          <w:sz w:val="24"/>
          <w:szCs w:val="36"/>
        </w:rPr>
        <w:t>ecretario</w:t>
      </w:r>
      <w:r w:rsidR="00CD2E14">
        <w:rPr>
          <w:rFonts w:ascii="Arial" w:hAnsi="Arial" w:cs="Arial"/>
          <w:b/>
          <w:sz w:val="24"/>
          <w:szCs w:val="36"/>
        </w:rPr>
        <w:t xml:space="preserve"> </w:t>
      </w:r>
      <w:r w:rsidR="00CD2E14">
        <w:rPr>
          <w:rFonts w:ascii="Arial" w:hAnsi="Arial" w:cs="Arial"/>
          <w:sz w:val="24"/>
          <w:szCs w:val="36"/>
        </w:rPr>
        <w:t xml:space="preserve">general encargado de la Alcaldía Mayor de Bogotá, Mauricio Moncayo, celebró la aprobación del Plan Distrital de Desarrollo por parte del Concejo de Bogotá y agradeció el respaldo de los </w:t>
      </w:r>
      <w:r w:rsidR="00DF54C0">
        <w:rPr>
          <w:rFonts w:ascii="Arial" w:hAnsi="Arial" w:cs="Arial"/>
          <w:sz w:val="24"/>
          <w:szCs w:val="36"/>
        </w:rPr>
        <w:t>cabildantes a</w:t>
      </w:r>
      <w:r w:rsidR="00CD2E14">
        <w:rPr>
          <w:rFonts w:ascii="Arial" w:hAnsi="Arial" w:cs="Arial"/>
          <w:sz w:val="24"/>
          <w:szCs w:val="36"/>
        </w:rPr>
        <w:t xml:space="preserve"> los 30 artículos que tiene el documento</w:t>
      </w:r>
      <w:r w:rsidR="00DF54C0">
        <w:rPr>
          <w:rFonts w:ascii="Arial" w:hAnsi="Arial" w:cs="Arial"/>
          <w:sz w:val="24"/>
          <w:szCs w:val="36"/>
        </w:rPr>
        <w:t>,</w:t>
      </w:r>
      <w:r w:rsidR="00CD2E14">
        <w:rPr>
          <w:rFonts w:ascii="Arial" w:hAnsi="Arial" w:cs="Arial"/>
          <w:sz w:val="24"/>
          <w:szCs w:val="36"/>
        </w:rPr>
        <w:t xml:space="preserve"> para </w:t>
      </w:r>
      <w:r w:rsidR="00DF54C0">
        <w:rPr>
          <w:rFonts w:ascii="Arial" w:hAnsi="Arial" w:cs="Arial"/>
          <w:sz w:val="24"/>
          <w:szCs w:val="36"/>
        </w:rPr>
        <w:t xml:space="preserve">una </w:t>
      </w:r>
      <w:r w:rsidR="00CD2E14">
        <w:rPr>
          <w:rFonts w:ascii="Arial" w:hAnsi="Arial" w:cs="Arial"/>
          <w:sz w:val="24"/>
          <w:szCs w:val="36"/>
        </w:rPr>
        <w:t xml:space="preserve">administración pública </w:t>
      </w:r>
      <w:r w:rsidR="00DF54C0">
        <w:rPr>
          <w:rFonts w:ascii="Arial" w:hAnsi="Arial" w:cs="Arial"/>
          <w:sz w:val="24"/>
          <w:szCs w:val="36"/>
        </w:rPr>
        <w:t xml:space="preserve">más eficiente y cercana a las necesidades de la ciudadanía </w:t>
      </w:r>
      <w:r w:rsidR="00CD2E14">
        <w:rPr>
          <w:rFonts w:ascii="Arial" w:hAnsi="Arial" w:cs="Arial"/>
          <w:sz w:val="24"/>
          <w:szCs w:val="36"/>
        </w:rPr>
        <w:t xml:space="preserve">en los próximos cuatro años. </w:t>
      </w:r>
    </w:p>
    <w:p w14:paraId="102040DD" w14:textId="77777777" w:rsidR="00CD2E14" w:rsidRDefault="00CD2E14" w:rsidP="00CD2E1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CD2E14">
        <w:rPr>
          <w:rFonts w:ascii="Arial" w:hAnsi="Arial" w:cs="Arial"/>
          <w:sz w:val="24"/>
          <w:szCs w:val="24"/>
        </w:rPr>
        <w:t xml:space="preserve">Hoy es un día de celebración para </w:t>
      </w:r>
      <w:r>
        <w:rPr>
          <w:rFonts w:ascii="Arial" w:hAnsi="Arial" w:cs="Arial"/>
          <w:sz w:val="24"/>
          <w:szCs w:val="24"/>
        </w:rPr>
        <w:t>B</w:t>
      </w:r>
      <w:r w:rsidRPr="00CD2E14">
        <w:rPr>
          <w:rFonts w:ascii="Arial" w:hAnsi="Arial" w:cs="Arial"/>
          <w:sz w:val="24"/>
          <w:szCs w:val="24"/>
        </w:rPr>
        <w:t xml:space="preserve">ogotá, pues fue aprobado el </w:t>
      </w:r>
      <w:r>
        <w:rPr>
          <w:rFonts w:ascii="Arial" w:hAnsi="Arial" w:cs="Arial"/>
          <w:sz w:val="24"/>
          <w:szCs w:val="24"/>
        </w:rPr>
        <w:t>P</w:t>
      </w:r>
      <w:r w:rsidRPr="00CD2E14">
        <w:rPr>
          <w:rFonts w:ascii="Arial" w:hAnsi="Arial" w:cs="Arial"/>
          <w:sz w:val="24"/>
          <w:szCs w:val="24"/>
        </w:rPr>
        <w:t xml:space="preserve">lan de </w:t>
      </w:r>
      <w:r>
        <w:rPr>
          <w:rFonts w:ascii="Arial" w:hAnsi="Arial" w:cs="Arial"/>
          <w:sz w:val="24"/>
          <w:szCs w:val="24"/>
        </w:rPr>
        <w:t>D</w:t>
      </w:r>
      <w:r w:rsidRPr="00CD2E14">
        <w:rPr>
          <w:rFonts w:ascii="Arial" w:hAnsi="Arial" w:cs="Arial"/>
          <w:sz w:val="24"/>
          <w:szCs w:val="24"/>
        </w:rPr>
        <w:t xml:space="preserve">esarrollo </w:t>
      </w:r>
      <w:r>
        <w:rPr>
          <w:rFonts w:ascii="Arial" w:hAnsi="Arial" w:cs="Arial"/>
          <w:sz w:val="24"/>
          <w:szCs w:val="24"/>
        </w:rPr>
        <w:t>D</w:t>
      </w:r>
      <w:r w:rsidRPr="00CD2E14">
        <w:rPr>
          <w:rFonts w:ascii="Arial" w:hAnsi="Arial" w:cs="Arial"/>
          <w:sz w:val="24"/>
          <w:szCs w:val="24"/>
        </w:rPr>
        <w:t xml:space="preserve">istrital, la hoja de ruta donde se establecieron las metas y objetivos por los que trabajaremos los servidores y colaboradores del distrito a la cabeza de nuestro alcalde, </w:t>
      </w:r>
      <w:r>
        <w:rPr>
          <w:rFonts w:ascii="Arial" w:hAnsi="Arial" w:cs="Arial"/>
          <w:sz w:val="24"/>
          <w:szCs w:val="24"/>
        </w:rPr>
        <w:t>C</w:t>
      </w:r>
      <w:r w:rsidRPr="00CD2E14">
        <w:rPr>
          <w:rFonts w:ascii="Arial" w:hAnsi="Arial" w:cs="Arial"/>
          <w:sz w:val="24"/>
          <w:szCs w:val="24"/>
        </w:rPr>
        <w:t xml:space="preserve">arlos </w:t>
      </w:r>
      <w:r>
        <w:rPr>
          <w:rFonts w:ascii="Arial" w:hAnsi="Arial" w:cs="Arial"/>
          <w:sz w:val="24"/>
          <w:szCs w:val="24"/>
        </w:rPr>
        <w:t>F</w:t>
      </w:r>
      <w:r w:rsidRPr="00CD2E14">
        <w:rPr>
          <w:rFonts w:ascii="Arial" w:hAnsi="Arial" w:cs="Arial"/>
          <w:sz w:val="24"/>
          <w:szCs w:val="24"/>
        </w:rPr>
        <w:t xml:space="preserve">ernando </w:t>
      </w:r>
      <w:r>
        <w:rPr>
          <w:rFonts w:ascii="Arial" w:hAnsi="Arial" w:cs="Arial"/>
          <w:sz w:val="24"/>
          <w:szCs w:val="24"/>
        </w:rPr>
        <w:t>G</w:t>
      </w:r>
      <w:r w:rsidRPr="00CD2E14">
        <w:rPr>
          <w:rFonts w:ascii="Arial" w:hAnsi="Arial" w:cs="Arial"/>
          <w:sz w:val="24"/>
          <w:szCs w:val="24"/>
        </w:rPr>
        <w:t>alán</w:t>
      </w:r>
      <w:r>
        <w:rPr>
          <w:rFonts w:ascii="Arial" w:hAnsi="Arial" w:cs="Arial"/>
          <w:sz w:val="24"/>
          <w:szCs w:val="24"/>
        </w:rPr>
        <w:t>”, dijo Moncayo</w:t>
      </w:r>
      <w:r w:rsidRPr="00CD2E14">
        <w:rPr>
          <w:rFonts w:ascii="Arial" w:hAnsi="Arial" w:cs="Arial"/>
          <w:sz w:val="24"/>
          <w:szCs w:val="24"/>
        </w:rPr>
        <w:t xml:space="preserve">. </w:t>
      </w:r>
    </w:p>
    <w:p w14:paraId="40652731" w14:textId="77777777" w:rsidR="00CD2E14" w:rsidRDefault="00CD2E14" w:rsidP="00CD2E1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039D5287" w14:textId="77777777" w:rsidR="00CD2E14" w:rsidRDefault="00CD2E14" w:rsidP="00CD2E1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 añadió: “A</w:t>
      </w:r>
      <w:r w:rsidRPr="00CD2E14">
        <w:rPr>
          <w:rFonts w:ascii="Arial" w:hAnsi="Arial" w:cs="Arial"/>
          <w:sz w:val="24"/>
          <w:szCs w:val="24"/>
        </w:rPr>
        <w:t xml:space="preserve">hora viene el paso más importante que es la implementación </w:t>
      </w:r>
      <w:r w:rsidR="00DF54C0">
        <w:rPr>
          <w:rFonts w:ascii="Arial" w:hAnsi="Arial" w:cs="Arial"/>
          <w:sz w:val="24"/>
          <w:szCs w:val="24"/>
        </w:rPr>
        <w:t xml:space="preserve">y el cumplimiento de los objetivos </w:t>
      </w:r>
      <w:r w:rsidRPr="00CD2E14">
        <w:rPr>
          <w:rFonts w:ascii="Arial" w:hAnsi="Arial" w:cs="Arial"/>
          <w:sz w:val="24"/>
          <w:szCs w:val="24"/>
        </w:rPr>
        <w:t xml:space="preserve">del </w:t>
      </w:r>
      <w:r>
        <w:rPr>
          <w:rFonts w:ascii="Arial" w:hAnsi="Arial" w:cs="Arial"/>
          <w:sz w:val="24"/>
          <w:szCs w:val="24"/>
        </w:rPr>
        <w:t>P</w:t>
      </w:r>
      <w:r w:rsidRPr="00CD2E14">
        <w:rPr>
          <w:rFonts w:ascii="Arial" w:hAnsi="Arial" w:cs="Arial"/>
          <w:sz w:val="24"/>
          <w:szCs w:val="24"/>
        </w:rPr>
        <w:t>lan,</w:t>
      </w:r>
      <w:r>
        <w:rPr>
          <w:rFonts w:ascii="Arial" w:hAnsi="Arial" w:cs="Arial"/>
          <w:sz w:val="24"/>
          <w:szCs w:val="24"/>
        </w:rPr>
        <w:t xml:space="preserve"> en especial el cumplimiento de </w:t>
      </w:r>
      <w:r w:rsidRPr="00CD2E14">
        <w:rPr>
          <w:rFonts w:ascii="Arial" w:hAnsi="Arial" w:cs="Arial"/>
          <w:sz w:val="24"/>
          <w:szCs w:val="24"/>
        </w:rPr>
        <w:t xml:space="preserve">las metas consignadas en los 30 artículos </w:t>
      </w:r>
      <w:r>
        <w:rPr>
          <w:rFonts w:ascii="Arial" w:hAnsi="Arial" w:cs="Arial"/>
          <w:sz w:val="24"/>
          <w:szCs w:val="24"/>
        </w:rPr>
        <w:t>y seis</w:t>
      </w:r>
      <w:r w:rsidRPr="00CD2E14">
        <w:rPr>
          <w:rFonts w:ascii="Arial" w:hAnsi="Arial" w:cs="Arial"/>
          <w:sz w:val="24"/>
          <w:szCs w:val="24"/>
        </w:rPr>
        <w:t xml:space="preserve"> programas encaminados a que los ciudadanos y ciudadanas confíen en su gobierno distrital</w:t>
      </w:r>
      <w:r>
        <w:rPr>
          <w:rFonts w:ascii="Arial" w:hAnsi="Arial" w:cs="Arial"/>
          <w:sz w:val="24"/>
          <w:szCs w:val="24"/>
        </w:rPr>
        <w:t>”</w:t>
      </w:r>
      <w:r w:rsidRPr="00CD2E14">
        <w:rPr>
          <w:rFonts w:ascii="Arial" w:hAnsi="Arial" w:cs="Arial"/>
          <w:sz w:val="24"/>
          <w:szCs w:val="24"/>
        </w:rPr>
        <w:t>.</w:t>
      </w:r>
    </w:p>
    <w:p w14:paraId="4573C2B5" w14:textId="77777777" w:rsidR="00CD2E14" w:rsidRDefault="00CD2E14" w:rsidP="00CD2E1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05018667" w14:textId="77777777" w:rsidR="00DF54C0" w:rsidRDefault="00DF54C0" w:rsidP="00CD2E1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F54C0">
        <w:rPr>
          <w:rFonts w:ascii="Arial" w:hAnsi="Arial" w:cs="Arial"/>
          <w:sz w:val="24"/>
          <w:szCs w:val="24"/>
        </w:rPr>
        <w:t xml:space="preserve">La lucha contra la corrupción, la creación de un gobierno abierto, transparente y corresponsable, con un mejor servicio a la ciudadanía y una gestión pública eficiente y ejemplar serán los puntos </w:t>
      </w:r>
      <w:r>
        <w:rPr>
          <w:rFonts w:ascii="Arial" w:hAnsi="Arial" w:cs="Arial"/>
          <w:sz w:val="24"/>
          <w:szCs w:val="24"/>
        </w:rPr>
        <w:t>principales en los que se trabajará desde la Secretaría General de la Alcaldía Mayor de Bogotá  en los próximos años</w:t>
      </w:r>
      <w:r w:rsidRPr="00DF54C0">
        <w:rPr>
          <w:rFonts w:ascii="Arial" w:hAnsi="Arial" w:cs="Arial"/>
          <w:sz w:val="24"/>
          <w:szCs w:val="24"/>
        </w:rPr>
        <w:t>.</w:t>
      </w:r>
    </w:p>
    <w:p w14:paraId="268DDF6F" w14:textId="77777777" w:rsidR="00DF54C0" w:rsidRDefault="00DF54C0" w:rsidP="00CD2E1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2BC159C7" w14:textId="77777777" w:rsidR="00CD2E14" w:rsidRDefault="00CD2E14" w:rsidP="00CD2E1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funcionario resaltó que el Plan </w:t>
      </w:r>
      <w:r w:rsidR="00D40C28">
        <w:rPr>
          <w:rFonts w:ascii="Arial" w:hAnsi="Arial" w:cs="Arial"/>
          <w:sz w:val="24"/>
          <w:szCs w:val="24"/>
        </w:rPr>
        <w:t xml:space="preserve">Distrital de Desarrollo 2024-2027 es uno de los más participativos con un total de </w:t>
      </w:r>
      <w:r w:rsidRPr="00CD2E14">
        <w:rPr>
          <w:rFonts w:ascii="Arial" w:hAnsi="Arial" w:cs="Arial"/>
          <w:sz w:val="24"/>
          <w:szCs w:val="24"/>
        </w:rPr>
        <w:t xml:space="preserve">147.422 aportes que </w:t>
      </w:r>
      <w:r w:rsidR="00D40C28">
        <w:rPr>
          <w:rFonts w:ascii="Arial" w:hAnsi="Arial" w:cs="Arial"/>
          <w:sz w:val="24"/>
          <w:szCs w:val="24"/>
        </w:rPr>
        <w:t xml:space="preserve">enviados por </w:t>
      </w:r>
      <w:r w:rsidRPr="00CD2E14">
        <w:rPr>
          <w:rFonts w:ascii="Arial" w:hAnsi="Arial" w:cs="Arial"/>
          <w:sz w:val="24"/>
          <w:szCs w:val="24"/>
        </w:rPr>
        <w:t>los</w:t>
      </w:r>
      <w:r w:rsidR="00D40C28">
        <w:rPr>
          <w:rFonts w:ascii="Arial" w:hAnsi="Arial" w:cs="Arial"/>
          <w:sz w:val="24"/>
          <w:szCs w:val="24"/>
        </w:rPr>
        <w:t xml:space="preserve"> ciudadanos a través del uso del </w:t>
      </w:r>
      <w:r w:rsidRPr="00CD2E14">
        <w:rPr>
          <w:rFonts w:ascii="Arial" w:hAnsi="Arial" w:cs="Arial"/>
          <w:sz w:val="24"/>
          <w:szCs w:val="24"/>
        </w:rPr>
        <w:t>agente virtual “</w:t>
      </w:r>
      <w:r w:rsidR="00D40C28">
        <w:rPr>
          <w:rFonts w:ascii="Arial" w:hAnsi="Arial" w:cs="Arial"/>
          <w:sz w:val="24"/>
          <w:szCs w:val="24"/>
        </w:rPr>
        <w:t>C</w:t>
      </w:r>
      <w:r w:rsidRPr="00CD2E14">
        <w:rPr>
          <w:rFonts w:ascii="Arial" w:hAnsi="Arial" w:cs="Arial"/>
          <w:sz w:val="24"/>
          <w:szCs w:val="24"/>
        </w:rPr>
        <w:t>hatico”.</w:t>
      </w:r>
    </w:p>
    <w:p w14:paraId="339DE077" w14:textId="77777777" w:rsidR="00923159" w:rsidRDefault="00923159" w:rsidP="00923159">
      <w:pPr>
        <w:pStyle w:val="NormalWeb"/>
        <w:spacing w:before="0" w:beforeAutospacing="0" w:after="240" w:afterAutospacing="0"/>
        <w:ind w:left="15" w:hanging="1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El objetivo cinco del Plan Distrital de Desarrollo lleva como nombre “Bogotá confía en su gobierno” y consta de seis programas y 30 artículos en materia de integridad, transparencia y corresponsabilidad;</w:t>
      </w:r>
      <w:r>
        <w:rPr>
          <w:rFonts w:ascii="Tahoma" w:hAnsi="Tahoma" w:cs="Tahoma"/>
          <w:b/>
          <w:bCs/>
          <w:color w:val="000000"/>
        </w:rPr>
        <w:t xml:space="preserve"> </w:t>
      </w:r>
      <w:r w:rsidRPr="00F7045B">
        <w:rPr>
          <w:rFonts w:ascii="Tahoma" w:hAnsi="Tahoma" w:cs="Tahoma"/>
          <w:bCs/>
          <w:color w:val="000000"/>
        </w:rPr>
        <w:t>mejor</w:t>
      </w:r>
      <w:r>
        <w:rPr>
          <w:rFonts w:ascii="Tahoma" w:hAnsi="Tahoma" w:cs="Tahoma"/>
          <w:b/>
          <w:bCs/>
          <w:color w:val="000000"/>
        </w:rPr>
        <w:t xml:space="preserve"> </w:t>
      </w:r>
      <w:r>
        <w:rPr>
          <w:rFonts w:ascii="Tahoma" w:hAnsi="Tahoma" w:cs="Tahoma"/>
          <w:color w:val="000000"/>
        </w:rPr>
        <w:t xml:space="preserve">servicio al ciudadano; gobierno abierto, </w:t>
      </w:r>
      <w:r>
        <w:rPr>
          <w:rFonts w:ascii="Tahoma" w:hAnsi="Tahoma" w:cs="Tahoma"/>
          <w:color w:val="000000"/>
        </w:rPr>
        <w:lastRenderedPageBreak/>
        <w:t>trasparente y corresponsable, la meritocracia, el fortalecimiento de las capacidades institucionales, la innovación pública y la trasformación digital del Distrito, entre otros. </w:t>
      </w:r>
    </w:p>
    <w:p w14:paraId="4AB8FF69" w14:textId="77777777" w:rsidR="00D40C28" w:rsidRDefault="00D40C28" w:rsidP="00D40C28">
      <w:pPr>
        <w:pStyle w:val="NormalWeb"/>
        <w:spacing w:before="0" w:beforeAutospacing="0" w:after="240" w:afterAutospacing="0"/>
        <w:jc w:val="both"/>
        <w:rPr>
          <w:rFonts w:ascii="WorkSans-Regular" w:hAnsi="WorkSans-Regular"/>
          <w:color w:val="4B4B4B"/>
        </w:rPr>
      </w:pPr>
      <w:r>
        <w:rPr>
          <w:rFonts w:ascii="Tahoma" w:hAnsi="Tahoma" w:cs="Tahoma"/>
          <w:b/>
          <w:bCs/>
          <w:color w:val="000000"/>
        </w:rPr>
        <w:t>Lo</w:t>
      </w:r>
      <w:r w:rsidR="00F7045B">
        <w:rPr>
          <w:rFonts w:ascii="Tahoma" w:hAnsi="Tahoma" w:cs="Tahoma"/>
          <w:b/>
          <w:bCs/>
          <w:color w:val="000000"/>
        </w:rPr>
        <w:t>s</w:t>
      </w:r>
      <w:r>
        <w:rPr>
          <w:rFonts w:ascii="Tahoma" w:hAnsi="Tahoma" w:cs="Tahoma"/>
          <w:b/>
          <w:bCs/>
          <w:color w:val="000000"/>
        </w:rPr>
        <w:t xml:space="preserve"> </w:t>
      </w:r>
      <w:r w:rsidR="00F7045B">
        <w:rPr>
          <w:rFonts w:ascii="Tahoma" w:hAnsi="Tahoma" w:cs="Tahoma"/>
          <w:b/>
          <w:bCs/>
          <w:color w:val="000000"/>
        </w:rPr>
        <w:t xml:space="preserve">artículos </w:t>
      </w:r>
      <w:r>
        <w:rPr>
          <w:rFonts w:ascii="Tahoma" w:hAnsi="Tahoma" w:cs="Tahoma"/>
          <w:b/>
          <w:bCs/>
          <w:color w:val="000000"/>
        </w:rPr>
        <w:t xml:space="preserve">para que </w:t>
      </w:r>
      <w:r w:rsidR="00923159">
        <w:rPr>
          <w:rFonts w:ascii="Tahoma" w:hAnsi="Tahoma" w:cs="Tahoma"/>
          <w:b/>
          <w:bCs/>
          <w:color w:val="000000"/>
        </w:rPr>
        <w:t>“</w:t>
      </w:r>
      <w:r>
        <w:rPr>
          <w:rFonts w:ascii="Tahoma" w:hAnsi="Tahoma" w:cs="Tahoma"/>
          <w:b/>
          <w:bCs/>
          <w:color w:val="000000"/>
        </w:rPr>
        <w:t>Bogotá confíe en su Gobierno</w:t>
      </w:r>
      <w:r w:rsidR="00923159">
        <w:rPr>
          <w:rFonts w:ascii="Tahoma" w:hAnsi="Tahoma" w:cs="Tahoma"/>
          <w:b/>
          <w:bCs/>
          <w:color w:val="000000"/>
        </w:rPr>
        <w:t>”</w:t>
      </w:r>
    </w:p>
    <w:p w14:paraId="362B323E" w14:textId="77777777" w:rsidR="00F7045B" w:rsidRDefault="00F7045B" w:rsidP="00F7045B">
      <w:pPr>
        <w:pStyle w:val="NormalWeb"/>
        <w:spacing w:after="240"/>
        <w:ind w:left="15" w:hanging="1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Entre los articulados relacionados con gestión pública sobresale el 15, </w:t>
      </w:r>
      <w:r w:rsidR="00923159">
        <w:rPr>
          <w:rFonts w:ascii="Tahoma" w:hAnsi="Tahoma" w:cs="Tahoma"/>
          <w:color w:val="000000"/>
        </w:rPr>
        <w:t xml:space="preserve">el cual </w:t>
      </w:r>
      <w:r>
        <w:rPr>
          <w:rFonts w:ascii="Tahoma" w:hAnsi="Tahoma" w:cs="Tahoma"/>
          <w:color w:val="000000"/>
        </w:rPr>
        <w:t xml:space="preserve">fija el objetivo de la estrategia </w:t>
      </w:r>
      <w:r w:rsidR="00923159">
        <w:rPr>
          <w:rFonts w:ascii="Tahoma" w:hAnsi="Tahoma" w:cs="Tahoma"/>
          <w:color w:val="000000"/>
        </w:rPr>
        <w:t xml:space="preserve">y orienta acciones para construir </w:t>
      </w:r>
      <w:r>
        <w:rPr>
          <w:rFonts w:ascii="Tahoma" w:hAnsi="Tahoma" w:cs="Tahoma"/>
          <w:color w:val="000000"/>
        </w:rPr>
        <w:t>un “</w:t>
      </w:r>
      <w:r w:rsidRPr="00F7045B">
        <w:rPr>
          <w:rFonts w:ascii="Tahoma" w:hAnsi="Tahoma" w:cs="Tahoma"/>
          <w:color w:val="000000"/>
        </w:rPr>
        <w:t>Gobierno que atienda las necesidades, garantice los derechos</w:t>
      </w:r>
      <w:r>
        <w:rPr>
          <w:rFonts w:ascii="Tahoma" w:hAnsi="Tahoma" w:cs="Tahoma"/>
          <w:color w:val="000000"/>
        </w:rPr>
        <w:t xml:space="preserve"> </w:t>
      </w:r>
      <w:r w:rsidRPr="00F7045B">
        <w:rPr>
          <w:rFonts w:ascii="Tahoma" w:hAnsi="Tahoma" w:cs="Tahoma"/>
          <w:color w:val="000000"/>
        </w:rPr>
        <w:t>de las personas y brinde un servicio amable, ágil y oportuno en todo el territorio, con un gasto eficiente.</w:t>
      </w:r>
      <w:r>
        <w:rPr>
          <w:rFonts w:ascii="Tahoma" w:hAnsi="Tahoma" w:cs="Tahoma"/>
          <w:color w:val="000000"/>
        </w:rPr>
        <w:t xml:space="preserve"> En esta meta trabajarán todos los sectores del distrito, especialmente</w:t>
      </w:r>
      <w:r w:rsidRPr="00F7045B">
        <w:rPr>
          <w:rFonts w:ascii="Tahoma" w:hAnsi="Tahoma" w:cs="Tahoma"/>
          <w:color w:val="000000"/>
        </w:rPr>
        <w:t xml:space="preserve"> Gobierno, Gestión</w:t>
      </w:r>
      <w:r>
        <w:rPr>
          <w:rFonts w:ascii="Tahoma" w:hAnsi="Tahoma" w:cs="Tahoma"/>
          <w:color w:val="000000"/>
        </w:rPr>
        <w:t xml:space="preserve"> </w:t>
      </w:r>
      <w:r w:rsidRPr="00F7045B">
        <w:rPr>
          <w:rFonts w:ascii="Tahoma" w:hAnsi="Tahoma" w:cs="Tahoma"/>
          <w:color w:val="000000"/>
        </w:rPr>
        <w:t>Pública, Gestión Jurídica, Planeación y Hacienda.</w:t>
      </w:r>
    </w:p>
    <w:p w14:paraId="323338DC" w14:textId="77777777" w:rsidR="00D40C28" w:rsidRDefault="00F7045B" w:rsidP="00923159">
      <w:pPr>
        <w:pStyle w:val="NormalWeb"/>
        <w:spacing w:after="240"/>
        <w:ind w:left="15" w:hanging="1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“En este artículo todos trabajaremos para lograr un </w:t>
      </w:r>
      <w:r w:rsidRPr="00F7045B">
        <w:rPr>
          <w:rFonts w:ascii="Tahoma" w:hAnsi="Tahoma" w:cs="Tahoma"/>
          <w:color w:val="000000"/>
        </w:rPr>
        <w:t>Gobierno que promueva la integridad, la transparencia, la eficiencia y el orgullo</w:t>
      </w:r>
      <w:r>
        <w:rPr>
          <w:rFonts w:ascii="Tahoma" w:hAnsi="Tahoma" w:cs="Tahoma"/>
          <w:color w:val="000000"/>
        </w:rPr>
        <w:t xml:space="preserve"> </w:t>
      </w:r>
      <w:r w:rsidRPr="00F7045B">
        <w:rPr>
          <w:rFonts w:ascii="Tahoma" w:hAnsi="Tahoma" w:cs="Tahoma"/>
          <w:color w:val="000000"/>
        </w:rPr>
        <w:t>de colaboradoras, colaboradores, sus servidoras y servidores públicos</w:t>
      </w:r>
      <w:r>
        <w:rPr>
          <w:rFonts w:ascii="Tahoma" w:hAnsi="Tahoma" w:cs="Tahoma"/>
          <w:color w:val="000000"/>
        </w:rPr>
        <w:t>”, dijo el secretario Moncayo</w:t>
      </w:r>
      <w:r w:rsidR="00923159">
        <w:rPr>
          <w:rFonts w:ascii="Tahoma" w:hAnsi="Tahoma" w:cs="Tahoma"/>
          <w:color w:val="000000"/>
        </w:rPr>
        <w:t>.</w:t>
      </w:r>
    </w:p>
    <w:p w14:paraId="72191C92" w14:textId="77777777" w:rsidR="00923159" w:rsidRDefault="00923159" w:rsidP="00923159">
      <w:pPr>
        <w:pStyle w:val="NormalWeb"/>
        <w:spacing w:after="240"/>
        <w:ind w:left="15" w:hanging="1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Así mismo, fue aprobado el artículo 16 donde se determinan los seis programas principales en materia de gestión pública: </w:t>
      </w:r>
      <w:r w:rsidRPr="00923159">
        <w:rPr>
          <w:rFonts w:ascii="Tahoma" w:hAnsi="Tahoma" w:cs="Tahoma"/>
          <w:color w:val="000000"/>
        </w:rPr>
        <w:t xml:space="preserve">Artículo 16. Programas del Objetivo Estratégico “Bogotá Confía en su Gobierno”. Programa 32. </w:t>
      </w:r>
      <w:r>
        <w:rPr>
          <w:rFonts w:ascii="Tahoma" w:hAnsi="Tahoma" w:cs="Tahoma"/>
          <w:color w:val="000000"/>
        </w:rPr>
        <w:t>“</w:t>
      </w:r>
      <w:r w:rsidRPr="00923159">
        <w:rPr>
          <w:rFonts w:ascii="Tahoma" w:hAnsi="Tahoma" w:cs="Tahoma"/>
          <w:color w:val="000000"/>
        </w:rPr>
        <w:t>Gobierno abierto, íntegro, transparente y corresponsable</w:t>
      </w:r>
      <w:r>
        <w:rPr>
          <w:rFonts w:ascii="Tahoma" w:hAnsi="Tahoma" w:cs="Tahoma"/>
          <w:color w:val="000000"/>
        </w:rPr>
        <w:t xml:space="preserve">”; </w:t>
      </w:r>
      <w:r w:rsidRPr="00923159">
        <w:rPr>
          <w:rFonts w:ascii="Tahoma" w:hAnsi="Tahoma" w:cs="Tahoma"/>
          <w:color w:val="000000"/>
        </w:rPr>
        <w:t xml:space="preserve">Programa 33. </w:t>
      </w:r>
      <w:r>
        <w:rPr>
          <w:rFonts w:ascii="Tahoma" w:hAnsi="Tahoma" w:cs="Tahoma"/>
          <w:color w:val="000000"/>
        </w:rPr>
        <w:t>“</w:t>
      </w:r>
      <w:r w:rsidRPr="00923159">
        <w:rPr>
          <w:rFonts w:ascii="Tahoma" w:hAnsi="Tahoma" w:cs="Tahoma"/>
          <w:color w:val="000000"/>
        </w:rPr>
        <w:t>Fortalecimiento institucional para un Gobierno confiable</w:t>
      </w:r>
      <w:r>
        <w:rPr>
          <w:rFonts w:ascii="Tahoma" w:hAnsi="Tahoma" w:cs="Tahoma"/>
          <w:color w:val="000000"/>
        </w:rPr>
        <w:t>”;</w:t>
      </w:r>
      <w:r w:rsidRPr="00923159">
        <w:rPr>
          <w:rFonts w:ascii="Tahoma" w:hAnsi="Tahoma" w:cs="Tahoma"/>
          <w:color w:val="000000"/>
        </w:rPr>
        <w:t xml:space="preserve"> Programa 34</w:t>
      </w:r>
      <w:r>
        <w:rPr>
          <w:rFonts w:ascii="Tahoma" w:hAnsi="Tahoma" w:cs="Tahoma"/>
          <w:color w:val="000000"/>
        </w:rPr>
        <w:t>,</w:t>
      </w:r>
      <w:r w:rsidRPr="00923159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>“</w:t>
      </w:r>
      <w:r w:rsidRPr="00923159">
        <w:rPr>
          <w:rFonts w:ascii="Tahoma" w:hAnsi="Tahoma" w:cs="Tahoma"/>
          <w:color w:val="000000"/>
        </w:rPr>
        <w:t>Talento humano unido por la ciudadanía</w:t>
      </w:r>
      <w:r>
        <w:rPr>
          <w:rFonts w:ascii="Tahoma" w:hAnsi="Tahoma" w:cs="Tahoma"/>
          <w:color w:val="000000"/>
        </w:rPr>
        <w:t>”;</w:t>
      </w:r>
      <w:r w:rsidRPr="00923159">
        <w:rPr>
          <w:rFonts w:ascii="Tahoma" w:hAnsi="Tahoma" w:cs="Tahoma"/>
          <w:color w:val="000000"/>
        </w:rPr>
        <w:t xml:space="preserve"> Programa 35</w:t>
      </w:r>
      <w:r>
        <w:rPr>
          <w:rFonts w:ascii="Tahoma" w:hAnsi="Tahoma" w:cs="Tahoma"/>
          <w:color w:val="000000"/>
        </w:rPr>
        <w:t>,</w:t>
      </w:r>
      <w:r w:rsidRPr="00923159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>“</w:t>
      </w:r>
      <w:r w:rsidRPr="00923159">
        <w:rPr>
          <w:rFonts w:ascii="Tahoma" w:hAnsi="Tahoma" w:cs="Tahoma"/>
          <w:color w:val="000000"/>
        </w:rPr>
        <w:t>Bogotá Ciudad Inteligente</w:t>
      </w:r>
      <w:r>
        <w:rPr>
          <w:rFonts w:ascii="Tahoma" w:hAnsi="Tahoma" w:cs="Tahoma"/>
          <w:color w:val="000000"/>
        </w:rPr>
        <w:t xml:space="preserve">”; </w:t>
      </w:r>
      <w:r w:rsidRPr="00923159">
        <w:rPr>
          <w:rFonts w:ascii="Tahoma" w:hAnsi="Tahoma" w:cs="Tahoma"/>
          <w:color w:val="000000"/>
        </w:rPr>
        <w:t>Programa 36</w:t>
      </w:r>
      <w:r>
        <w:rPr>
          <w:rFonts w:ascii="Tahoma" w:hAnsi="Tahoma" w:cs="Tahoma"/>
          <w:color w:val="000000"/>
        </w:rPr>
        <w:t>,</w:t>
      </w:r>
      <w:r w:rsidRPr="00923159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>“</w:t>
      </w:r>
      <w:r w:rsidRPr="00923159">
        <w:rPr>
          <w:rFonts w:ascii="Tahoma" w:hAnsi="Tahoma" w:cs="Tahoma"/>
          <w:color w:val="000000"/>
        </w:rPr>
        <w:t>Innovación Pública para la generación de la confianza ciudadana</w:t>
      </w:r>
      <w:r>
        <w:rPr>
          <w:rFonts w:ascii="Tahoma" w:hAnsi="Tahoma" w:cs="Tahoma"/>
          <w:color w:val="000000"/>
        </w:rPr>
        <w:t xml:space="preserve">” y el </w:t>
      </w:r>
      <w:r w:rsidRPr="00923159">
        <w:rPr>
          <w:rFonts w:ascii="Tahoma" w:hAnsi="Tahoma" w:cs="Tahoma"/>
          <w:color w:val="000000"/>
        </w:rPr>
        <w:t>Programa 39</w:t>
      </w:r>
      <w:r>
        <w:rPr>
          <w:rFonts w:ascii="Tahoma" w:hAnsi="Tahoma" w:cs="Tahoma"/>
          <w:color w:val="000000"/>
        </w:rPr>
        <w:t>,</w:t>
      </w:r>
      <w:r w:rsidRPr="00923159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>“</w:t>
      </w:r>
      <w:r w:rsidRPr="00923159">
        <w:rPr>
          <w:rFonts w:ascii="Tahoma" w:hAnsi="Tahoma" w:cs="Tahoma"/>
          <w:color w:val="000000"/>
        </w:rPr>
        <w:t>Camino hacia una democracia deliberativa con un gobierno cercano a la gente y con participación ciudadana</w:t>
      </w:r>
      <w:r>
        <w:rPr>
          <w:rFonts w:ascii="Tahoma" w:hAnsi="Tahoma" w:cs="Tahoma"/>
          <w:color w:val="000000"/>
        </w:rPr>
        <w:t>”</w:t>
      </w:r>
      <w:r w:rsidRPr="00923159">
        <w:rPr>
          <w:rFonts w:ascii="Tahoma" w:hAnsi="Tahoma" w:cs="Tahoma"/>
          <w:color w:val="000000"/>
        </w:rPr>
        <w:t>.</w:t>
      </w:r>
    </w:p>
    <w:p w14:paraId="486A0646" w14:textId="77777777" w:rsidR="00BE5EC5" w:rsidRDefault="00BE5EC5" w:rsidP="00923159">
      <w:pPr>
        <w:pStyle w:val="NormalWeb"/>
        <w:spacing w:after="240"/>
        <w:ind w:left="15" w:hanging="10"/>
        <w:jc w:val="both"/>
        <w:rPr>
          <w:rFonts w:ascii="Tahoma" w:hAnsi="Tahoma" w:cs="Tahoma"/>
          <w:color w:val="000000"/>
        </w:rPr>
      </w:pPr>
    </w:p>
    <w:p w14:paraId="267F8160" w14:textId="77777777" w:rsidR="00BE5EC5" w:rsidRDefault="00BE5EC5" w:rsidP="00923159">
      <w:pPr>
        <w:pStyle w:val="NormalWeb"/>
        <w:spacing w:after="240"/>
        <w:ind w:left="15" w:hanging="10"/>
        <w:jc w:val="both"/>
        <w:rPr>
          <w:rFonts w:ascii="Tahoma" w:hAnsi="Tahoma" w:cs="Tahoma"/>
          <w:b/>
          <w:color w:val="000000"/>
        </w:rPr>
      </w:pPr>
      <w:r w:rsidRPr="00BE5EC5">
        <w:rPr>
          <w:rFonts w:ascii="Tahoma" w:hAnsi="Tahoma" w:cs="Tahoma"/>
          <w:b/>
          <w:color w:val="000000"/>
        </w:rPr>
        <w:t>Tr</w:t>
      </w:r>
      <w:r>
        <w:rPr>
          <w:rFonts w:ascii="Tahoma" w:hAnsi="Tahoma" w:cs="Tahoma"/>
          <w:b/>
          <w:color w:val="000000"/>
        </w:rPr>
        <w:t>á</w:t>
      </w:r>
      <w:r w:rsidRPr="00BE5EC5">
        <w:rPr>
          <w:rFonts w:ascii="Tahoma" w:hAnsi="Tahoma" w:cs="Tahoma"/>
          <w:b/>
          <w:color w:val="000000"/>
        </w:rPr>
        <w:t>mites</w:t>
      </w:r>
    </w:p>
    <w:p w14:paraId="04930078" w14:textId="77777777" w:rsidR="00BE5EC5" w:rsidRDefault="00BE5EC5" w:rsidP="00923159">
      <w:pPr>
        <w:pStyle w:val="NormalWeb"/>
        <w:spacing w:after="240"/>
        <w:ind w:left="15" w:hanging="1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El a</w:t>
      </w:r>
      <w:r w:rsidRPr="00BE5EC5">
        <w:rPr>
          <w:rFonts w:ascii="Tahoma" w:hAnsi="Tahoma" w:cs="Tahoma"/>
          <w:color w:val="000000"/>
        </w:rPr>
        <w:t>rtículo 247</w:t>
      </w:r>
      <w:r>
        <w:rPr>
          <w:rFonts w:ascii="Tahoma" w:hAnsi="Tahoma" w:cs="Tahoma"/>
          <w:color w:val="000000"/>
        </w:rPr>
        <w:t xml:space="preserve"> fija la</w:t>
      </w:r>
      <w:r w:rsidRPr="00BE5EC5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>e</w:t>
      </w:r>
      <w:r w:rsidRPr="00BE5EC5">
        <w:rPr>
          <w:rFonts w:ascii="Tahoma" w:hAnsi="Tahoma" w:cs="Tahoma"/>
          <w:color w:val="000000"/>
        </w:rPr>
        <w:t>strategia de racionalización de trámites y ot</w:t>
      </w:r>
      <w:r>
        <w:rPr>
          <w:rFonts w:ascii="Tahoma" w:hAnsi="Tahoma" w:cs="Tahoma"/>
          <w:color w:val="000000"/>
        </w:rPr>
        <w:t xml:space="preserve">ros procesos administrativos. En este se establece que la Secretaría General </w:t>
      </w:r>
      <w:r w:rsidRPr="00BE5EC5">
        <w:rPr>
          <w:rFonts w:ascii="Tahoma" w:hAnsi="Tahoma" w:cs="Tahoma"/>
          <w:color w:val="000000"/>
        </w:rPr>
        <w:t xml:space="preserve">deberá articular y acompañar la implementación de las acciones de racionalización propuestas por las entidades que tienen trámites, </w:t>
      </w:r>
      <w:r>
        <w:rPr>
          <w:rFonts w:ascii="Tahoma" w:hAnsi="Tahoma" w:cs="Tahoma"/>
          <w:color w:val="000000"/>
        </w:rPr>
        <w:t>o</w:t>
      </w:r>
      <w:r w:rsidRPr="00BE5EC5">
        <w:rPr>
          <w:rFonts w:ascii="Tahoma" w:hAnsi="Tahoma" w:cs="Tahoma"/>
          <w:color w:val="000000"/>
        </w:rPr>
        <w:t xml:space="preserve">tros procedimientos administrativos y consultas de acceso a la información pública. Estas acciones deberán estar encaminadas a simplificar, estandarizar, eliminar, optimizar y automatizar trámites y procedimientos administrativos para facilitar el acceso de los ciudadanos a sus derechos reduciendo costos, tiempos, documentos, procesos y pasos en su interacción con las entidades públicas, así como el cumplimiento de sus obligaciones y el desarrollo de actividades comerciales o económicas de manera ágil y efectiva. </w:t>
      </w:r>
    </w:p>
    <w:p w14:paraId="16859EBD" w14:textId="77777777" w:rsidR="00BE5EC5" w:rsidRPr="00BE5EC5" w:rsidRDefault="00BE5EC5" w:rsidP="00923159">
      <w:pPr>
        <w:pStyle w:val="NormalWeb"/>
        <w:spacing w:after="240"/>
        <w:ind w:left="15" w:hanging="10"/>
        <w:jc w:val="both"/>
        <w:rPr>
          <w:rFonts w:ascii="Tahoma" w:hAnsi="Tahoma" w:cs="Tahoma"/>
          <w:color w:val="000000"/>
        </w:rPr>
      </w:pPr>
      <w:r w:rsidRPr="00BE5EC5">
        <w:rPr>
          <w:rFonts w:ascii="Tahoma" w:hAnsi="Tahoma" w:cs="Tahoma"/>
          <w:color w:val="000000"/>
        </w:rPr>
        <w:lastRenderedPageBreak/>
        <w:t>Así mismo, la Secretaría General en coordinación con las entidades distritales y nacionales competentes (DAFP y Ministerio de las Tecnologías de la Información y las Comunicaciones) deberá impulsar el cumplimiento de las normas relacionadas con automatización y digitalización de trámites.</w:t>
      </w:r>
    </w:p>
    <w:p w14:paraId="1F277368" w14:textId="77777777" w:rsidR="000A1642" w:rsidRPr="000A1642" w:rsidRDefault="000A1642" w:rsidP="00923159">
      <w:pPr>
        <w:pStyle w:val="NormalWeb"/>
        <w:spacing w:after="240"/>
        <w:ind w:left="15" w:hanging="10"/>
        <w:jc w:val="both"/>
        <w:rPr>
          <w:rFonts w:ascii="Tahoma" w:hAnsi="Tahoma" w:cs="Tahoma"/>
          <w:b/>
          <w:color w:val="000000"/>
        </w:rPr>
      </w:pPr>
      <w:r w:rsidRPr="000A1642">
        <w:rPr>
          <w:rFonts w:ascii="Tahoma" w:hAnsi="Tahoma" w:cs="Tahoma"/>
          <w:b/>
          <w:color w:val="000000"/>
        </w:rPr>
        <w:t>Formalización de empleo público</w:t>
      </w:r>
    </w:p>
    <w:p w14:paraId="47831FD8" w14:textId="77777777" w:rsidR="00923159" w:rsidRPr="00923159" w:rsidRDefault="00923159" w:rsidP="00923159">
      <w:pPr>
        <w:pStyle w:val="NormalWeb"/>
        <w:spacing w:after="240"/>
        <w:ind w:left="15" w:hanging="1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El artículo 98 sobre f</w:t>
      </w:r>
      <w:r w:rsidRPr="00923159">
        <w:rPr>
          <w:rFonts w:ascii="Tahoma" w:hAnsi="Tahoma" w:cs="Tahoma"/>
          <w:color w:val="000000"/>
        </w:rPr>
        <w:t>ormalización del empleo público</w:t>
      </w:r>
      <w:r>
        <w:rPr>
          <w:rFonts w:ascii="Tahoma" w:hAnsi="Tahoma" w:cs="Tahoma"/>
          <w:color w:val="000000"/>
        </w:rPr>
        <w:t>, el que la a</w:t>
      </w:r>
      <w:r w:rsidRPr="00923159">
        <w:rPr>
          <w:rFonts w:ascii="Tahoma" w:hAnsi="Tahoma" w:cs="Tahoma"/>
          <w:color w:val="000000"/>
        </w:rPr>
        <w:t xml:space="preserve">dministración </w:t>
      </w:r>
      <w:r>
        <w:rPr>
          <w:rFonts w:ascii="Tahoma" w:hAnsi="Tahoma" w:cs="Tahoma"/>
          <w:color w:val="000000"/>
        </w:rPr>
        <w:t>d</w:t>
      </w:r>
      <w:r w:rsidRPr="00923159">
        <w:rPr>
          <w:rFonts w:ascii="Tahoma" w:hAnsi="Tahoma" w:cs="Tahoma"/>
          <w:color w:val="000000"/>
        </w:rPr>
        <w:t xml:space="preserve">istrital, a través de la Secretaría General y el Departamento Administrativo del Servicio Civil Distrital, en el término de seis meses, elaborará un plan de formalización laboral del empleo público </w:t>
      </w:r>
      <w:r>
        <w:rPr>
          <w:rFonts w:ascii="Tahoma" w:hAnsi="Tahoma" w:cs="Tahoma"/>
          <w:color w:val="000000"/>
        </w:rPr>
        <w:t xml:space="preserve">y deberá </w:t>
      </w:r>
      <w:r w:rsidRPr="00923159">
        <w:rPr>
          <w:rFonts w:ascii="Tahoma" w:hAnsi="Tahoma" w:cs="Tahoma"/>
          <w:color w:val="000000"/>
        </w:rPr>
        <w:t>priorizar la provisión oportuna de los empleos en vacancia de las plantas de personal</w:t>
      </w:r>
      <w:r>
        <w:rPr>
          <w:rFonts w:ascii="Tahoma" w:hAnsi="Tahoma" w:cs="Tahoma"/>
          <w:color w:val="000000"/>
        </w:rPr>
        <w:t xml:space="preserve">; reducir de </w:t>
      </w:r>
      <w:r w:rsidRPr="00923159">
        <w:rPr>
          <w:rFonts w:ascii="Tahoma" w:hAnsi="Tahoma" w:cs="Tahoma"/>
          <w:color w:val="000000"/>
        </w:rPr>
        <w:t xml:space="preserve">manera progresiva la contratación de prestación de servicios profesionales. Así mismo, </w:t>
      </w:r>
      <w:r w:rsidR="000A1642">
        <w:rPr>
          <w:rFonts w:ascii="Tahoma" w:hAnsi="Tahoma" w:cs="Tahoma"/>
          <w:color w:val="000000"/>
        </w:rPr>
        <w:t xml:space="preserve">se implementarán </w:t>
      </w:r>
      <w:r w:rsidRPr="00923159">
        <w:rPr>
          <w:rFonts w:ascii="Tahoma" w:hAnsi="Tahoma" w:cs="Tahoma"/>
          <w:color w:val="000000"/>
        </w:rPr>
        <w:t xml:space="preserve">aumentos progresivos de las plantas de personal conforme </w:t>
      </w:r>
      <w:r w:rsidR="000A1642">
        <w:rPr>
          <w:rFonts w:ascii="Tahoma" w:hAnsi="Tahoma" w:cs="Tahoma"/>
          <w:color w:val="000000"/>
        </w:rPr>
        <w:t xml:space="preserve">a </w:t>
      </w:r>
      <w:r w:rsidRPr="00923159">
        <w:rPr>
          <w:rFonts w:ascii="Tahoma" w:hAnsi="Tahoma" w:cs="Tahoma"/>
          <w:color w:val="000000"/>
        </w:rPr>
        <w:t>los estudios técnicos y las posibilidades fiscales existentes.</w:t>
      </w:r>
    </w:p>
    <w:p w14:paraId="0C696AC1" w14:textId="77777777" w:rsidR="000A1642" w:rsidRPr="000A1642" w:rsidRDefault="000A1642" w:rsidP="000A1642">
      <w:pPr>
        <w:pStyle w:val="NormalWeb"/>
        <w:spacing w:after="240"/>
        <w:ind w:left="15" w:hanging="10"/>
        <w:jc w:val="both"/>
        <w:rPr>
          <w:rFonts w:ascii="Tahoma" w:hAnsi="Tahoma" w:cs="Tahoma"/>
          <w:b/>
          <w:color w:val="000000"/>
        </w:rPr>
      </w:pPr>
      <w:r w:rsidRPr="000A1642">
        <w:rPr>
          <w:rFonts w:ascii="Tahoma" w:hAnsi="Tahoma" w:cs="Tahoma"/>
          <w:b/>
          <w:color w:val="000000"/>
        </w:rPr>
        <w:t>Innovación Pública</w:t>
      </w:r>
    </w:p>
    <w:p w14:paraId="433113F4" w14:textId="77777777" w:rsidR="000A1642" w:rsidRDefault="000A1642" w:rsidP="000A1642">
      <w:pPr>
        <w:pStyle w:val="NormalWeb"/>
        <w:spacing w:after="240"/>
        <w:ind w:left="15" w:hanging="1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El a</w:t>
      </w:r>
      <w:r w:rsidRPr="000A1642">
        <w:rPr>
          <w:rFonts w:ascii="Tahoma" w:hAnsi="Tahoma" w:cs="Tahoma"/>
          <w:color w:val="000000"/>
        </w:rPr>
        <w:t>rtículo 216</w:t>
      </w:r>
      <w:r>
        <w:rPr>
          <w:rFonts w:ascii="Tahoma" w:hAnsi="Tahoma" w:cs="Tahoma"/>
          <w:color w:val="000000"/>
        </w:rPr>
        <w:t xml:space="preserve"> sobre</w:t>
      </w:r>
      <w:r w:rsidRPr="000A1642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>i</w:t>
      </w:r>
      <w:r w:rsidRPr="000A1642">
        <w:rPr>
          <w:rFonts w:ascii="Tahoma" w:hAnsi="Tahoma" w:cs="Tahoma"/>
          <w:color w:val="000000"/>
        </w:rPr>
        <w:t>nnovación pública del Distrito</w:t>
      </w:r>
      <w:r>
        <w:rPr>
          <w:rFonts w:ascii="Tahoma" w:hAnsi="Tahoma" w:cs="Tahoma"/>
          <w:color w:val="000000"/>
        </w:rPr>
        <w:t xml:space="preserve"> establece el diseño de </w:t>
      </w:r>
      <w:r w:rsidRPr="000A1642">
        <w:rPr>
          <w:rFonts w:ascii="Tahoma" w:hAnsi="Tahoma" w:cs="Tahoma"/>
          <w:color w:val="000000"/>
        </w:rPr>
        <w:t xml:space="preserve">soluciones innovadoras a grandes retos de la ciudad, </w:t>
      </w:r>
      <w:r>
        <w:rPr>
          <w:rFonts w:ascii="Tahoma" w:hAnsi="Tahoma" w:cs="Tahoma"/>
          <w:color w:val="000000"/>
        </w:rPr>
        <w:t xml:space="preserve">así como </w:t>
      </w:r>
      <w:r w:rsidRPr="000A1642">
        <w:rPr>
          <w:rFonts w:ascii="Tahoma" w:hAnsi="Tahoma" w:cs="Tahoma"/>
          <w:color w:val="000000"/>
        </w:rPr>
        <w:t>aportar a la modernización de la administración pública fortaleciendo la relación con la ciudadanía e impulsar a Bogotá como territorio inteligente</w:t>
      </w:r>
      <w:r>
        <w:rPr>
          <w:rFonts w:ascii="Tahoma" w:hAnsi="Tahoma" w:cs="Tahoma"/>
          <w:color w:val="000000"/>
        </w:rPr>
        <w:t>.</w:t>
      </w:r>
    </w:p>
    <w:p w14:paraId="4CD74710" w14:textId="77777777" w:rsidR="00923159" w:rsidRDefault="000A1642" w:rsidP="000A1642">
      <w:pPr>
        <w:pStyle w:val="NormalWeb"/>
        <w:spacing w:after="240"/>
        <w:ind w:left="15" w:hanging="1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También se aprobó </w:t>
      </w:r>
      <w:r w:rsidRPr="000A1642">
        <w:rPr>
          <w:rFonts w:ascii="Tahoma" w:hAnsi="Tahoma" w:cs="Tahoma"/>
          <w:color w:val="000000"/>
        </w:rPr>
        <w:t xml:space="preserve">la estrategia de Innovación Pública del Distrito, para lo cual desde el Laboratorio de Innovación Pública de Bogotá se articularán acciones, metas y objetivos con la Secretaría General y la Secretaría de Desarrollo Económico. </w:t>
      </w:r>
    </w:p>
    <w:p w14:paraId="79CE1F54" w14:textId="77777777" w:rsidR="000A1642" w:rsidRDefault="000A1642" w:rsidP="000A1642">
      <w:pPr>
        <w:pStyle w:val="NormalWeb"/>
        <w:spacing w:after="240"/>
        <w:ind w:left="15" w:hanging="10"/>
        <w:jc w:val="both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 xml:space="preserve">Meritocracia </w:t>
      </w:r>
    </w:p>
    <w:p w14:paraId="7394D6A5" w14:textId="77777777" w:rsidR="000A1642" w:rsidRPr="000A1642" w:rsidRDefault="000A1642" w:rsidP="000A1642">
      <w:pPr>
        <w:pStyle w:val="NormalWeb"/>
        <w:spacing w:after="240"/>
        <w:ind w:left="15" w:hanging="1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El a</w:t>
      </w:r>
      <w:r w:rsidRPr="000A1642">
        <w:rPr>
          <w:rFonts w:ascii="Tahoma" w:hAnsi="Tahoma" w:cs="Tahoma"/>
          <w:color w:val="000000"/>
        </w:rPr>
        <w:t>rtículo 222</w:t>
      </w:r>
      <w:r>
        <w:rPr>
          <w:rFonts w:ascii="Tahoma" w:hAnsi="Tahoma" w:cs="Tahoma"/>
          <w:color w:val="000000"/>
        </w:rPr>
        <w:t xml:space="preserve"> promueve </w:t>
      </w:r>
      <w:r w:rsidRPr="000A1642">
        <w:rPr>
          <w:rFonts w:ascii="Tahoma" w:hAnsi="Tahoma" w:cs="Tahoma"/>
          <w:color w:val="000000"/>
        </w:rPr>
        <w:t>la meritocracia como un mecanismo de igualdad, generación de valor público y fortalecimiento institucional</w:t>
      </w:r>
      <w:r>
        <w:rPr>
          <w:rFonts w:ascii="Tahoma" w:hAnsi="Tahoma" w:cs="Tahoma"/>
          <w:color w:val="000000"/>
        </w:rPr>
        <w:t xml:space="preserve">. Además, </w:t>
      </w:r>
      <w:r w:rsidRPr="000A1642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 xml:space="preserve">el artículo pide avanzar </w:t>
      </w:r>
      <w:r w:rsidRPr="000A1642">
        <w:rPr>
          <w:rFonts w:ascii="Tahoma" w:hAnsi="Tahoma" w:cs="Tahoma"/>
          <w:color w:val="000000"/>
        </w:rPr>
        <w:t>en la promoción de procesos meritocráticos para la provisión de cargos de carrera administrativa que se encuentren en vacancia definitiva.</w:t>
      </w:r>
    </w:p>
    <w:p w14:paraId="2FFB5EF8" w14:textId="77777777" w:rsidR="000A1642" w:rsidRPr="000A1642" w:rsidRDefault="000A1642" w:rsidP="000A1642">
      <w:pPr>
        <w:pStyle w:val="NormalWeb"/>
        <w:spacing w:after="240"/>
        <w:ind w:left="15" w:hanging="1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Se </w:t>
      </w:r>
      <w:r w:rsidRPr="000A1642">
        <w:rPr>
          <w:rFonts w:ascii="Tahoma" w:hAnsi="Tahoma" w:cs="Tahoma"/>
          <w:color w:val="000000"/>
        </w:rPr>
        <w:t xml:space="preserve">promoverá </w:t>
      </w:r>
      <w:r>
        <w:rPr>
          <w:rFonts w:ascii="Tahoma" w:hAnsi="Tahoma" w:cs="Tahoma"/>
          <w:color w:val="000000"/>
        </w:rPr>
        <w:t xml:space="preserve">a </w:t>
      </w:r>
      <w:r w:rsidRPr="000A1642">
        <w:rPr>
          <w:rFonts w:ascii="Tahoma" w:hAnsi="Tahoma" w:cs="Tahoma"/>
          <w:color w:val="000000"/>
        </w:rPr>
        <w:t xml:space="preserve">personas con pertenencia étnica a los Pueblos Indígenas, Comunidades Negras, Afrocolombianas, Raizales y Palenqueras y el Pueblo </w:t>
      </w:r>
      <w:proofErr w:type="spellStart"/>
      <w:r w:rsidRPr="000A1642">
        <w:rPr>
          <w:rFonts w:ascii="Tahoma" w:hAnsi="Tahoma" w:cs="Tahoma"/>
          <w:color w:val="000000"/>
        </w:rPr>
        <w:t>Rrom</w:t>
      </w:r>
      <w:proofErr w:type="spellEnd"/>
      <w:r w:rsidRPr="000A1642">
        <w:rPr>
          <w:rFonts w:ascii="Tahoma" w:hAnsi="Tahoma" w:cs="Tahoma"/>
          <w:color w:val="000000"/>
        </w:rPr>
        <w:t xml:space="preserve"> Gitano, víctimas del conflicto armado incluyendo aquellas pertenecientes al sector Interreligioso, veteranos de la fuerza pública, personas con discapacidad y personas LGBTI, entre otras poblaciones, participen en las convocatorias de los concursos de mérito que realicen las Entidades y Organismos Distritales de Bogotá D.C., a través del</w:t>
      </w:r>
      <w:r>
        <w:rPr>
          <w:rFonts w:ascii="Tahoma" w:hAnsi="Tahoma" w:cs="Tahoma"/>
          <w:color w:val="000000"/>
        </w:rPr>
        <w:t xml:space="preserve"> </w:t>
      </w:r>
      <w:r w:rsidRPr="000A1642">
        <w:rPr>
          <w:rFonts w:ascii="Tahoma" w:hAnsi="Tahoma" w:cs="Tahoma"/>
          <w:color w:val="000000"/>
        </w:rPr>
        <w:t>desarrollo de ferias de servicios o espacios de participación ciudadana.</w:t>
      </w:r>
    </w:p>
    <w:p w14:paraId="597720A4" w14:textId="77777777" w:rsidR="000A1642" w:rsidRPr="000A1642" w:rsidRDefault="000A1642" w:rsidP="00923159">
      <w:pPr>
        <w:pStyle w:val="NormalWeb"/>
        <w:spacing w:after="240"/>
        <w:ind w:left="15" w:hanging="10"/>
        <w:jc w:val="both"/>
        <w:rPr>
          <w:rFonts w:ascii="Tahoma" w:hAnsi="Tahoma" w:cs="Tahoma"/>
          <w:b/>
          <w:color w:val="000000"/>
        </w:rPr>
      </w:pPr>
      <w:r w:rsidRPr="000A1642">
        <w:rPr>
          <w:rFonts w:ascii="Tahoma" w:hAnsi="Tahoma" w:cs="Tahoma"/>
          <w:b/>
          <w:color w:val="000000"/>
        </w:rPr>
        <w:lastRenderedPageBreak/>
        <w:t xml:space="preserve">Trabajo decente y digno </w:t>
      </w:r>
    </w:p>
    <w:p w14:paraId="4A2C1788" w14:textId="77777777" w:rsidR="00CD2E14" w:rsidRPr="00080C9A" w:rsidRDefault="000A1642" w:rsidP="00BE5EC5">
      <w:pPr>
        <w:pStyle w:val="NormalWeb"/>
        <w:spacing w:after="240"/>
        <w:ind w:left="15" w:hanging="10"/>
        <w:jc w:val="both"/>
        <w:rPr>
          <w:rFonts w:ascii="Arial" w:hAnsi="Arial" w:cs="Arial"/>
          <w:szCs w:val="36"/>
        </w:rPr>
      </w:pPr>
      <w:r>
        <w:rPr>
          <w:rFonts w:ascii="Tahoma" w:hAnsi="Tahoma" w:cs="Tahoma"/>
          <w:color w:val="000000"/>
        </w:rPr>
        <w:t>En el a</w:t>
      </w:r>
      <w:r w:rsidRPr="000A1642">
        <w:rPr>
          <w:rFonts w:ascii="Tahoma" w:hAnsi="Tahoma" w:cs="Tahoma"/>
          <w:color w:val="000000"/>
        </w:rPr>
        <w:t>rtículo 223</w:t>
      </w:r>
      <w:r>
        <w:rPr>
          <w:rFonts w:ascii="Tahoma" w:hAnsi="Tahoma" w:cs="Tahoma"/>
          <w:color w:val="000000"/>
        </w:rPr>
        <w:t xml:space="preserve"> se fija la p</w:t>
      </w:r>
      <w:r w:rsidRPr="000A1642">
        <w:rPr>
          <w:rFonts w:ascii="Tahoma" w:hAnsi="Tahoma" w:cs="Tahoma"/>
          <w:color w:val="000000"/>
        </w:rPr>
        <w:t xml:space="preserve">olítica de trabajo decente y digno. </w:t>
      </w:r>
      <w:r>
        <w:rPr>
          <w:rFonts w:ascii="Tahoma" w:hAnsi="Tahoma" w:cs="Tahoma"/>
          <w:color w:val="000000"/>
        </w:rPr>
        <w:t xml:space="preserve">Pide que se adelanten </w:t>
      </w:r>
      <w:r w:rsidRPr="000A1642">
        <w:rPr>
          <w:rFonts w:ascii="Tahoma" w:hAnsi="Tahoma" w:cs="Tahoma"/>
          <w:color w:val="000000"/>
        </w:rPr>
        <w:t>acciones que</w:t>
      </w:r>
      <w:r>
        <w:rPr>
          <w:rFonts w:ascii="Tahoma" w:hAnsi="Tahoma" w:cs="Tahoma"/>
          <w:color w:val="000000"/>
        </w:rPr>
        <w:t xml:space="preserve"> </w:t>
      </w:r>
      <w:r w:rsidRPr="000A1642">
        <w:rPr>
          <w:rFonts w:ascii="Tahoma" w:hAnsi="Tahoma" w:cs="Tahoma"/>
          <w:color w:val="000000"/>
        </w:rPr>
        <w:t>propenda</w:t>
      </w:r>
      <w:r>
        <w:rPr>
          <w:rFonts w:ascii="Tahoma" w:hAnsi="Tahoma" w:cs="Tahoma"/>
          <w:color w:val="000000"/>
        </w:rPr>
        <w:t>n</w:t>
      </w:r>
      <w:r w:rsidRPr="000A1642">
        <w:rPr>
          <w:rFonts w:ascii="Tahoma" w:hAnsi="Tahoma" w:cs="Tahoma"/>
          <w:color w:val="000000"/>
        </w:rPr>
        <w:t xml:space="preserve"> porque en aquellos empleos que sean creados por la Administración</w:t>
      </w:r>
      <w:r>
        <w:rPr>
          <w:rFonts w:ascii="Tahoma" w:hAnsi="Tahoma" w:cs="Tahoma"/>
          <w:color w:val="000000"/>
        </w:rPr>
        <w:t>,</w:t>
      </w:r>
      <w:r w:rsidRPr="000A1642">
        <w:rPr>
          <w:rFonts w:ascii="Tahoma" w:hAnsi="Tahoma" w:cs="Tahoma"/>
          <w:color w:val="000000"/>
        </w:rPr>
        <w:t xml:space="preserve"> cumplan con los estándares de trabajo decente, asegurando igualdad de oportunidades, remuneración justa, seguridad en el empleo, y condiciones de trabajo seguras y saludables para todos los empleados</w:t>
      </w:r>
      <w:r>
        <w:rPr>
          <w:rFonts w:ascii="Tahoma" w:hAnsi="Tahoma" w:cs="Tahoma"/>
          <w:color w:val="000000"/>
        </w:rPr>
        <w:t>.</w:t>
      </w:r>
    </w:p>
    <w:sectPr w:rsidR="00CD2E14" w:rsidRPr="00080C9A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EE88E" w14:textId="77777777" w:rsidR="001304F2" w:rsidRDefault="001304F2" w:rsidP="0038792D">
      <w:pPr>
        <w:spacing w:after="0" w:line="240" w:lineRule="auto"/>
      </w:pPr>
      <w:r>
        <w:separator/>
      </w:r>
    </w:p>
  </w:endnote>
  <w:endnote w:type="continuationSeparator" w:id="0">
    <w:p w14:paraId="53B1E59E" w14:textId="77777777" w:rsidR="001304F2" w:rsidRDefault="001304F2" w:rsidP="00387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orkSans-Regular">
    <w:altName w:val="Times New Roman"/>
    <w:panose1 w:val="020B0604020202020204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D9E35" w14:textId="77777777" w:rsidR="001304F2" w:rsidRDefault="001304F2" w:rsidP="0038792D">
      <w:pPr>
        <w:spacing w:after="0" w:line="240" w:lineRule="auto"/>
      </w:pPr>
      <w:r>
        <w:separator/>
      </w:r>
    </w:p>
  </w:footnote>
  <w:footnote w:type="continuationSeparator" w:id="0">
    <w:p w14:paraId="5D54154E" w14:textId="77777777" w:rsidR="001304F2" w:rsidRDefault="001304F2" w:rsidP="00387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6FD6D" w14:textId="7A4CDF91" w:rsidR="0038792D" w:rsidRDefault="0038792D">
    <w:pPr>
      <w:pStyle w:val="Encabezado"/>
    </w:pPr>
    <w:r>
      <w:rPr>
        <w:rFonts w:ascii="Century Gothic" w:eastAsia="Century Gothic" w:hAnsi="Century Gothic" w:cs="Century Gothic"/>
        <w:noProof/>
        <w:color w:val="000000"/>
      </w:rPr>
      <w:drawing>
        <wp:anchor distT="0" distB="0" distL="114300" distR="114300" simplePos="0" relativeHeight="251659264" behindDoc="0" locked="0" layoutInCell="1" hidden="0" allowOverlap="1" wp14:anchorId="7229C585" wp14:editId="55C9D705">
          <wp:simplePos x="0" y="0"/>
          <wp:positionH relativeFrom="page">
            <wp:posOffset>2886075</wp:posOffset>
          </wp:positionH>
          <wp:positionV relativeFrom="page">
            <wp:posOffset>620395</wp:posOffset>
          </wp:positionV>
          <wp:extent cx="1628775" cy="1000125"/>
          <wp:effectExtent l="0" t="0" r="0" b="0"/>
          <wp:wrapTopAndBottom distT="0" distB="0"/>
          <wp:docPr id="1" name="image1.png" descr="Logotipo, nombre de la empresa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Logotipo, nombre de la empresa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28775" cy="1000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E6B96"/>
    <w:multiLevelType w:val="hybridMultilevel"/>
    <w:tmpl w:val="6D26B7F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474D0"/>
    <w:multiLevelType w:val="hybridMultilevel"/>
    <w:tmpl w:val="0C8486E0"/>
    <w:lvl w:ilvl="0" w:tplc="204A070E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85A2AD3"/>
    <w:multiLevelType w:val="hybridMultilevel"/>
    <w:tmpl w:val="DA2085D6"/>
    <w:lvl w:ilvl="0" w:tplc="E94A4EC8">
      <w:start w:val="2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6486086">
    <w:abstractNumId w:val="1"/>
  </w:num>
  <w:num w:numId="2" w16cid:durableId="1891989420">
    <w:abstractNumId w:val="0"/>
  </w:num>
  <w:num w:numId="3" w16cid:durableId="5307312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C9A"/>
    <w:rsid w:val="00080C9A"/>
    <w:rsid w:val="000A1642"/>
    <w:rsid w:val="001304F2"/>
    <w:rsid w:val="00142BCF"/>
    <w:rsid w:val="0038792D"/>
    <w:rsid w:val="00452463"/>
    <w:rsid w:val="008500CC"/>
    <w:rsid w:val="00923159"/>
    <w:rsid w:val="00BE5EC5"/>
    <w:rsid w:val="00CD2E14"/>
    <w:rsid w:val="00D40C28"/>
    <w:rsid w:val="00DF54C0"/>
    <w:rsid w:val="00F7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9EC20"/>
  <w15:chartTrackingRefBased/>
  <w15:docId w15:val="{3A5316D9-5E42-45C7-B9D8-0F2522F3F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80C9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40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3879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792D"/>
  </w:style>
  <w:style w:type="paragraph" w:styleId="Piedepgina">
    <w:name w:val="footer"/>
    <w:basedOn w:val="Normal"/>
    <w:link w:val="PiedepginaCar"/>
    <w:uiPriority w:val="99"/>
    <w:unhideWhenUsed/>
    <w:rsid w:val="003879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7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8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1121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NOHEMI FELICIANO PUERTO</dc:creator>
  <cp:keywords/>
  <dc:description/>
  <cp:lastModifiedBy>Diana María Bohórquez Losada</cp:lastModifiedBy>
  <cp:revision>2</cp:revision>
  <dcterms:created xsi:type="dcterms:W3CDTF">2024-05-30T17:50:00Z</dcterms:created>
  <dcterms:modified xsi:type="dcterms:W3CDTF">2024-05-30T17:50:00Z</dcterms:modified>
</cp:coreProperties>
</file>